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D6814F" w14:textId="56C01EAF" w:rsidR="00F11B2D" w:rsidRPr="0030389B" w:rsidRDefault="00EA17E0" w:rsidP="0030389B">
      <w:pPr>
        <w:spacing w:line="240" w:lineRule="auto"/>
        <w:jc w:val="center"/>
        <w:rPr>
          <w:b/>
          <w:bCs/>
          <w:sz w:val="26"/>
          <w:szCs w:val="26"/>
        </w:rPr>
      </w:pPr>
      <w:r w:rsidRPr="0030389B">
        <w:rPr>
          <w:b/>
          <w:bCs/>
          <w:sz w:val="26"/>
          <w:szCs w:val="26"/>
        </w:rPr>
        <w:t>Materials up for review and vote by the NOSB Spring (review) and Fall (vote) 2022</w:t>
      </w:r>
    </w:p>
    <w:p w14:paraId="23660BFF" w14:textId="1CE7091C" w:rsidR="00EA17E0" w:rsidRPr="0030389B" w:rsidRDefault="00EA17E0" w:rsidP="00EA17E0">
      <w:pPr>
        <w:spacing w:line="240" w:lineRule="auto"/>
        <w:rPr>
          <w:b/>
          <w:bCs/>
          <w:sz w:val="24"/>
          <w:szCs w:val="24"/>
        </w:rPr>
      </w:pPr>
    </w:p>
    <w:p w14:paraId="665537FC" w14:textId="00B1B368" w:rsidR="00EA17E0" w:rsidRPr="0030389B" w:rsidRDefault="00EA17E0" w:rsidP="00EA17E0">
      <w:pPr>
        <w:spacing w:line="240" w:lineRule="auto"/>
        <w:rPr>
          <w:b/>
          <w:bCs/>
          <w:sz w:val="24"/>
          <w:szCs w:val="24"/>
        </w:rPr>
      </w:pPr>
      <w:r w:rsidRPr="0030389B">
        <w:rPr>
          <w:b/>
          <w:bCs/>
          <w:sz w:val="24"/>
          <w:szCs w:val="24"/>
        </w:rPr>
        <w:t>CROPS Subcommittee Sunset Materials ~</w:t>
      </w:r>
    </w:p>
    <w:p w14:paraId="3C3C54C1" w14:textId="315F0896" w:rsidR="00EA17E0" w:rsidRPr="0030389B" w:rsidRDefault="00EA17E0" w:rsidP="00EA17E0">
      <w:pPr>
        <w:spacing w:line="240" w:lineRule="auto"/>
        <w:rPr>
          <w:b/>
          <w:bCs/>
          <w:sz w:val="24"/>
          <w:szCs w:val="24"/>
        </w:rPr>
      </w:pPr>
      <w:r w:rsidRPr="0030389B">
        <w:rPr>
          <w:rFonts w:cstheme="minorHAnsi"/>
          <w:b/>
          <w:bCs/>
          <w:sz w:val="24"/>
          <w:szCs w:val="24"/>
        </w:rPr>
        <w:t>§</w:t>
      </w:r>
      <w:r w:rsidRPr="0030389B">
        <w:rPr>
          <w:b/>
          <w:bCs/>
          <w:sz w:val="24"/>
          <w:szCs w:val="24"/>
        </w:rPr>
        <w:t>205.601 Synthetic substances allowed for use in organic crop production.</w:t>
      </w:r>
    </w:p>
    <w:p w14:paraId="25D93331" w14:textId="1A7F74BF" w:rsidR="00EA17E0" w:rsidRPr="0030389B" w:rsidRDefault="00EA17E0" w:rsidP="00EA17E0">
      <w:pPr>
        <w:spacing w:line="240" w:lineRule="auto"/>
        <w:rPr>
          <w:b/>
          <w:bCs/>
          <w:sz w:val="24"/>
          <w:szCs w:val="24"/>
        </w:rPr>
      </w:pPr>
      <w:r w:rsidRPr="0030389B">
        <w:rPr>
          <w:b/>
          <w:bCs/>
          <w:sz w:val="24"/>
          <w:szCs w:val="24"/>
        </w:rPr>
        <w:t>(b) As herbicides, weed barriers, as applicable</w:t>
      </w:r>
    </w:p>
    <w:p w14:paraId="26AE913D" w14:textId="3411A74A" w:rsidR="00EA17E0" w:rsidRPr="0030389B" w:rsidRDefault="00EA17E0" w:rsidP="00EA17E0">
      <w:pPr>
        <w:spacing w:line="240" w:lineRule="auto"/>
        <w:rPr>
          <w:sz w:val="24"/>
          <w:szCs w:val="24"/>
        </w:rPr>
      </w:pPr>
      <w:r w:rsidRPr="0030389B">
        <w:rPr>
          <w:rFonts w:cstheme="minorHAnsi"/>
          <w:sz w:val="24"/>
          <w:szCs w:val="24"/>
        </w:rPr>
        <w:t>§</w:t>
      </w:r>
      <w:r w:rsidRPr="0030389B">
        <w:rPr>
          <w:sz w:val="24"/>
          <w:szCs w:val="24"/>
        </w:rPr>
        <w:t>205.601 (b)(1) Herbicides, soap-based</w:t>
      </w:r>
      <w:r w:rsidR="002C6BCE" w:rsidRPr="0030389B">
        <w:rPr>
          <w:sz w:val="24"/>
          <w:szCs w:val="24"/>
        </w:rPr>
        <w:t xml:space="preserve"> – for use in farmstead maintenance (roadways, ditches, right of ways, building perimeters) and ornamental crops.</w:t>
      </w:r>
    </w:p>
    <w:p w14:paraId="244B8000" w14:textId="7CF11772" w:rsidR="002C6BCE" w:rsidRPr="0030389B" w:rsidRDefault="002C6BCE" w:rsidP="00EA17E0">
      <w:pPr>
        <w:spacing w:line="240" w:lineRule="auto"/>
        <w:rPr>
          <w:b/>
          <w:bCs/>
          <w:sz w:val="24"/>
          <w:szCs w:val="24"/>
        </w:rPr>
      </w:pPr>
      <w:r w:rsidRPr="0030389B">
        <w:rPr>
          <w:b/>
          <w:bCs/>
          <w:sz w:val="24"/>
          <w:szCs w:val="24"/>
        </w:rPr>
        <w:t>(b)(2) Mulches</w:t>
      </w:r>
    </w:p>
    <w:p w14:paraId="3639E01F" w14:textId="481D7BB5" w:rsidR="00EA17E0" w:rsidRPr="0030389B" w:rsidRDefault="00544276" w:rsidP="00EA17E0">
      <w:pPr>
        <w:spacing w:line="240" w:lineRule="auto"/>
        <w:rPr>
          <w:sz w:val="24"/>
          <w:szCs w:val="24"/>
        </w:rPr>
      </w:pPr>
      <w:r w:rsidRPr="0030389B">
        <w:rPr>
          <w:rFonts w:cstheme="minorHAnsi"/>
          <w:sz w:val="24"/>
          <w:szCs w:val="24"/>
        </w:rPr>
        <w:t>§</w:t>
      </w:r>
      <w:r w:rsidRPr="0030389B">
        <w:rPr>
          <w:sz w:val="24"/>
          <w:szCs w:val="24"/>
        </w:rPr>
        <w:t>205.601 (b)(2)(iii) Biodegradable Biobased mulch film</w:t>
      </w:r>
      <w:r w:rsidR="002C6BCE" w:rsidRPr="0030389B">
        <w:rPr>
          <w:sz w:val="24"/>
          <w:szCs w:val="24"/>
        </w:rPr>
        <w:t xml:space="preserve"> – as defined in </w:t>
      </w:r>
      <w:r w:rsidR="002C6BCE" w:rsidRPr="0030389B">
        <w:rPr>
          <w:rFonts w:cstheme="minorHAnsi"/>
          <w:sz w:val="24"/>
          <w:szCs w:val="24"/>
        </w:rPr>
        <w:t>§</w:t>
      </w:r>
      <w:r w:rsidR="002C6BCE" w:rsidRPr="0030389B">
        <w:rPr>
          <w:sz w:val="24"/>
          <w:szCs w:val="24"/>
        </w:rPr>
        <w:t>205.2. Must be produced without organisms or feedstock derived from excluded methods.</w:t>
      </w:r>
    </w:p>
    <w:p w14:paraId="2E1F9C02" w14:textId="2C393C15" w:rsidR="002C6BCE" w:rsidRPr="0030389B" w:rsidRDefault="002C6BCE" w:rsidP="00EA17E0">
      <w:pPr>
        <w:spacing w:line="240" w:lineRule="auto"/>
        <w:rPr>
          <w:b/>
          <w:bCs/>
          <w:sz w:val="24"/>
          <w:szCs w:val="24"/>
        </w:rPr>
      </w:pPr>
      <w:r w:rsidRPr="0030389B">
        <w:rPr>
          <w:b/>
          <w:bCs/>
          <w:sz w:val="24"/>
          <w:szCs w:val="24"/>
        </w:rPr>
        <w:t>(e) As insecticides (including acaricides or mite control).</w:t>
      </w:r>
    </w:p>
    <w:p w14:paraId="2AC2C76C" w14:textId="5206C2F4" w:rsidR="002C6BCE" w:rsidRPr="0030389B" w:rsidRDefault="00BF6E4B" w:rsidP="00EA17E0">
      <w:pPr>
        <w:spacing w:line="240" w:lineRule="auto"/>
        <w:rPr>
          <w:sz w:val="24"/>
          <w:szCs w:val="24"/>
        </w:rPr>
      </w:pPr>
      <w:r w:rsidRPr="0030389B">
        <w:rPr>
          <w:rFonts w:cstheme="minorHAnsi"/>
          <w:sz w:val="24"/>
          <w:szCs w:val="24"/>
        </w:rPr>
        <w:t>§</w:t>
      </w:r>
      <w:r w:rsidRPr="0030389B">
        <w:rPr>
          <w:sz w:val="24"/>
          <w:szCs w:val="24"/>
        </w:rPr>
        <w:t>205.601(e)(3) Boric acid – structural pest control, no direct contact with organic food or crops.</w:t>
      </w:r>
    </w:p>
    <w:p w14:paraId="6871FE67" w14:textId="10DEFBD2" w:rsidR="00BF6E4B" w:rsidRPr="0030389B" w:rsidRDefault="00BF6E4B" w:rsidP="00EA17E0">
      <w:pPr>
        <w:spacing w:line="240" w:lineRule="auto"/>
        <w:rPr>
          <w:sz w:val="24"/>
          <w:szCs w:val="24"/>
        </w:rPr>
      </w:pPr>
      <w:r w:rsidRPr="0030389B">
        <w:rPr>
          <w:rFonts w:cstheme="minorHAnsi"/>
          <w:sz w:val="24"/>
          <w:szCs w:val="24"/>
        </w:rPr>
        <w:t>§</w:t>
      </w:r>
      <w:r w:rsidRPr="0030389B">
        <w:rPr>
          <w:sz w:val="24"/>
          <w:szCs w:val="24"/>
        </w:rPr>
        <w:t>205.601(e)(9) Sticky traps/barriers</w:t>
      </w:r>
    </w:p>
    <w:p w14:paraId="556F5EF6" w14:textId="43C296D1" w:rsidR="00F577DC" w:rsidRPr="0030389B" w:rsidRDefault="00F577DC" w:rsidP="00EA17E0">
      <w:pPr>
        <w:spacing w:line="240" w:lineRule="auto"/>
        <w:rPr>
          <w:b/>
          <w:bCs/>
          <w:sz w:val="24"/>
          <w:szCs w:val="24"/>
        </w:rPr>
      </w:pPr>
      <w:r w:rsidRPr="0030389B">
        <w:rPr>
          <w:b/>
          <w:bCs/>
          <w:sz w:val="24"/>
          <w:szCs w:val="24"/>
        </w:rPr>
        <w:t>(h) As slug or snail bait</w:t>
      </w:r>
    </w:p>
    <w:p w14:paraId="6D033F65" w14:textId="5F0A5945" w:rsidR="00F577DC" w:rsidRPr="0030389B" w:rsidRDefault="00BF6E4B" w:rsidP="00F577DC">
      <w:pPr>
        <w:spacing w:line="240" w:lineRule="auto"/>
        <w:rPr>
          <w:sz w:val="24"/>
          <w:szCs w:val="24"/>
        </w:rPr>
      </w:pPr>
      <w:r w:rsidRPr="0030389B">
        <w:rPr>
          <w:rFonts w:cstheme="minorHAnsi"/>
          <w:sz w:val="24"/>
          <w:szCs w:val="24"/>
        </w:rPr>
        <w:t>§</w:t>
      </w:r>
      <w:r w:rsidRPr="0030389B">
        <w:rPr>
          <w:sz w:val="24"/>
          <w:szCs w:val="24"/>
        </w:rPr>
        <w:t>205.601(h)(2) Elemental Sulfur</w:t>
      </w:r>
    </w:p>
    <w:p w14:paraId="2B0F9019" w14:textId="73545184" w:rsidR="00F577DC" w:rsidRPr="0030389B" w:rsidRDefault="00F577DC" w:rsidP="00F577DC">
      <w:pPr>
        <w:spacing w:line="240" w:lineRule="auto"/>
        <w:rPr>
          <w:b/>
          <w:bCs/>
          <w:sz w:val="24"/>
          <w:szCs w:val="24"/>
        </w:rPr>
      </w:pPr>
      <w:r w:rsidRPr="0030389B">
        <w:rPr>
          <w:b/>
          <w:bCs/>
          <w:sz w:val="24"/>
          <w:szCs w:val="24"/>
        </w:rPr>
        <w:t>(i) As plant disease control.</w:t>
      </w:r>
    </w:p>
    <w:p w14:paraId="04C822F4" w14:textId="3D5E8830" w:rsidR="00F577DC" w:rsidRPr="0030389B" w:rsidRDefault="00F577DC" w:rsidP="00F577DC">
      <w:pPr>
        <w:spacing w:line="240" w:lineRule="auto"/>
        <w:rPr>
          <w:sz w:val="24"/>
          <w:szCs w:val="24"/>
        </w:rPr>
      </w:pPr>
      <w:r w:rsidRPr="0030389B">
        <w:rPr>
          <w:rFonts w:cstheme="minorHAnsi"/>
          <w:sz w:val="24"/>
          <w:szCs w:val="24"/>
        </w:rPr>
        <w:t>§</w:t>
      </w:r>
      <w:r w:rsidRPr="0030389B">
        <w:rPr>
          <w:sz w:val="24"/>
          <w:szCs w:val="24"/>
        </w:rPr>
        <w:t xml:space="preserve">205.601(i)(2) Coppers, fixed – copper hydroxide, copper oxide, copper oxychloride, includes products exempted from EPA tolerance, </w:t>
      </w:r>
      <w:r w:rsidRPr="0030389B">
        <w:rPr>
          <w:i/>
          <w:iCs/>
          <w:sz w:val="24"/>
          <w:szCs w:val="24"/>
        </w:rPr>
        <w:t xml:space="preserve">Provided, </w:t>
      </w:r>
      <w:r w:rsidRPr="0030389B">
        <w:rPr>
          <w:sz w:val="24"/>
          <w:szCs w:val="24"/>
        </w:rPr>
        <w:t>That, copper</w:t>
      </w:r>
      <w:r w:rsidR="00416918" w:rsidRPr="0030389B">
        <w:rPr>
          <w:sz w:val="24"/>
          <w:szCs w:val="24"/>
        </w:rPr>
        <w:t>-based materials must be used in a manner that minimizes accumulation in the soil and shall not be used as herbicides.</w:t>
      </w:r>
    </w:p>
    <w:p w14:paraId="6E9B6C3C" w14:textId="6E963D07" w:rsidR="00416918" w:rsidRPr="0030389B" w:rsidRDefault="00416918" w:rsidP="00F577DC">
      <w:pPr>
        <w:spacing w:line="240" w:lineRule="auto"/>
        <w:rPr>
          <w:sz w:val="24"/>
          <w:szCs w:val="24"/>
        </w:rPr>
      </w:pPr>
      <w:r w:rsidRPr="0030389B">
        <w:rPr>
          <w:rFonts w:cstheme="minorHAnsi"/>
          <w:sz w:val="24"/>
          <w:szCs w:val="24"/>
        </w:rPr>
        <w:t>§</w:t>
      </w:r>
      <w:r w:rsidRPr="0030389B">
        <w:rPr>
          <w:sz w:val="24"/>
          <w:szCs w:val="24"/>
        </w:rPr>
        <w:t>205.601(i)(3) Copper sulfate – Substance must be used in a manner that minimizes accumulation of copper in the soil.</w:t>
      </w:r>
    </w:p>
    <w:p w14:paraId="51E85AB6" w14:textId="4E430ACA" w:rsidR="00407142" w:rsidRPr="0030389B" w:rsidRDefault="00416918" w:rsidP="00F577DC">
      <w:pPr>
        <w:spacing w:line="240" w:lineRule="auto"/>
        <w:rPr>
          <w:sz w:val="24"/>
          <w:szCs w:val="24"/>
        </w:rPr>
      </w:pPr>
      <w:r w:rsidRPr="0030389B">
        <w:rPr>
          <w:rFonts w:cstheme="minorHAnsi"/>
          <w:sz w:val="24"/>
          <w:szCs w:val="24"/>
        </w:rPr>
        <w:t>§</w:t>
      </w:r>
      <w:r w:rsidRPr="0030389B">
        <w:rPr>
          <w:sz w:val="24"/>
          <w:szCs w:val="24"/>
        </w:rPr>
        <w:t>205.601(i)(11) Polyoxin D zinc salt.</w:t>
      </w:r>
    </w:p>
    <w:p w14:paraId="300F4174" w14:textId="14BDD6DB" w:rsidR="00416918" w:rsidRPr="0030389B" w:rsidRDefault="00416918" w:rsidP="00F577DC">
      <w:pPr>
        <w:spacing w:line="240" w:lineRule="auto"/>
        <w:rPr>
          <w:b/>
          <w:bCs/>
          <w:sz w:val="24"/>
          <w:szCs w:val="24"/>
        </w:rPr>
      </w:pPr>
      <w:r w:rsidRPr="0030389B">
        <w:rPr>
          <w:b/>
          <w:bCs/>
          <w:sz w:val="24"/>
          <w:szCs w:val="24"/>
        </w:rPr>
        <w:t>(j) As plant or soil amendments.</w:t>
      </w:r>
    </w:p>
    <w:p w14:paraId="176891F3" w14:textId="2867097E" w:rsidR="00416918" w:rsidRPr="0030389B" w:rsidRDefault="00416918" w:rsidP="00F577DC">
      <w:pPr>
        <w:spacing w:line="240" w:lineRule="auto"/>
        <w:rPr>
          <w:sz w:val="24"/>
          <w:szCs w:val="24"/>
        </w:rPr>
      </w:pPr>
      <w:r w:rsidRPr="0030389B">
        <w:rPr>
          <w:rFonts w:cstheme="minorHAnsi"/>
          <w:sz w:val="24"/>
          <w:szCs w:val="24"/>
        </w:rPr>
        <w:t>§</w:t>
      </w:r>
      <w:r w:rsidRPr="0030389B">
        <w:rPr>
          <w:sz w:val="24"/>
          <w:szCs w:val="24"/>
        </w:rPr>
        <w:t>205.601(j)(3) Humic acids – naturally occurring deposits, water and alkali extracts only.</w:t>
      </w:r>
    </w:p>
    <w:p w14:paraId="13E3E6FD" w14:textId="7C0E2FFB" w:rsidR="005A524E" w:rsidRPr="0030389B" w:rsidRDefault="005A524E" w:rsidP="00F577DC">
      <w:pPr>
        <w:spacing w:line="240" w:lineRule="auto"/>
        <w:rPr>
          <w:b/>
          <w:bCs/>
          <w:sz w:val="24"/>
          <w:szCs w:val="24"/>
        </w:rPr>
      </w:pPr>
      <w:r w:rsidRPr="0030389B">
        <w:rPr>
          <w:b/>
          <w:bCs/>
          <w:sz w:val="24"/>
          <w:szCs w:val="24"/>
        </w:rPr>
        <w:t>(7) Micronutrients – not to be used as a defoliant, herbicide, or desiccant. Those made from nitrates or chlorides are not allowed. Micronutrient deficiency must be documented by soil or tissue testing or other documented and verifiable method as approved by the certifying agent.</w:t>
      </w:r>
    </w:p>
    <w:p w14:paraId="4FB9B6E3" w14:textId="1ACDB290" w:rsidR="005A524E" w:rsidRPr="0030389B" w:rsidRDefault="005A524E" w:rsidP="00F577DC">
      <w:pPr>
        <w:spacing w:line="240" w:lineRule="auto"/>
        <w:rPr>
          <w:sz w:val="24"/>
          <w:szCs w:val="24"/>
        </w:rPr>
      </w:pPr>
      <w:r w:rsidRPr="0030389B">
        <w:rPr>
          <w:rFonts w:cstheme="minorHAnsi"/>
          <w:sz w:val="24"/>
          <w:szCs w:val="24"/>
        </w:rPr>
        <w:t>§</w:t>
      </w:r>
      <w:r w:rsidRPr="0030389B">
        <w:rPr>
          <w:sz w:val="24"/>
          <w:szCs w:val="24"/>
        </w:rPr>
        <w:t>205.601(j)(7)(i) Soluble boron products.</w:t>
      </w:r>
    </w:p>
    <w:p w14:paraId="6047F353" w14:textId="7FD22982" w:rsidR="005A524E" w:rsidRPr="0030389B" w:rsidRDefault="005A524E" w:rsidP="00F577DC">
      <w:pPr>
        <w:spacing w:line="240" w:lineRule="auto"/>
        <w:rPr>
          <w:sz w:val="24"/>
          <w:szCs w:val="24"/>
        </w:rPr>
      </w:pPr>
      <w:r w:rsidRPr="0030389B">
        <w:rPr>
          <w:rFonts w:cstheme="minorHAnsi"/>
          <w:sz w:val="24"/>
          <w:szCs w:val="24"/>
        </w:rPr>
        <w:lastRenderedPageBreak/>
        <w:t>§</w:t>
      </w:r>
      <w:r w:rsidRPr="0030389B">
        <w:rPr>
          <w:sz w:val="24"/>
          <w:szCs w:val="24"/>
        </w:rPr>
        <w:t>205.601(j)(7)(ii) Sulfates, carbonates, oxides, or silicates of zinc, copper, iron, mangan</w:t>
      </w:r>
      <w:r w:rsidR="006A2D89" w:rsidRPr="0030389B">
        <w:rPr>
          <w:sz w:val="24"/>
          <w:szCs w:val="24"/>
        </w:rPr>
        <w:t>e</w:t>
      </w:r>
      <w:r w:rsidRPr="0030389B">
        <w:rPr>
          <w:sz w:val="24"/>
          <w:szCs w:val="24"/>
        </w:rPr>
        <w:t>se, molybde</w:t>
      </w:r>
      <w:r w:rsidR="006A2D89" w:rsidRPr="0030389B">
        <w:rPr>
          <w:sz w:val="24"/>
          <w:szCs w:val="24"/>
        </w:rPr>
        <w:t>num, selenium, and cobalt.</w:t>
      </w:r>
    </w:p>
    <w:p w14:paraId="3C8F5CAF" w14:textId="077B2622" w:rsidR="006A2D89" w:rsidRPr="0030389B" w:rsidRDefault="006A2D89" w:rsidP="00F577DC">
      <w:pPr>
        <w:spacing w:line="240" w:lineRule="auto"/>
        <w:rPr>
          <w:sz w:val="24"/>
          <w:szCs w:val="24"/>
        </w:rPr>
      </w:pPr>
      <w:r w:rsidRPr="0030389B">
        <w:rPr>
          <w:rFonts w:cstheme="minorHAnsi"/>
          <w:sz w:val="24"/>
          <w:szCs w:val="24"/>
        </w:rPr>
        <w:t>§</w:t>
      </w:r>
      <w:r w:rsidRPr="0030389B">
        <w:rPr>
          <w:sz w:val="24"/>
          <w:szCs w:val="24"/>
        </w:rPr>
        <w:t>205.601(j)(9) Vitamins, B</w:t>
      </w:r>
      <w:r w:rsidRPr="0030389B">
        <w:rPr>
          <w:rFonts w:cstheme="minorHAnsi"/>
          <w:sz w:val="24"/>
          <w:szCs w:val="24"/>
        </w:rPr>
        <w:t>₁</w:t>
      </w:r>
      <w:r w:rsidRPr="0030389B">
        <w:rPr>
          <w:sz w:val="24"/>
          <w:szCs w:val="24"/>
        </w:rPr>
        <w:t>, C, and E.</w:t>
      </w:r>
    </w:p>
    <w:p w14:paraId="1A72A43F" w14:textId="612C790A" w:rsidR="006A2D89" w:rsidRPr="0030389B" w:rsidRDefault="006A2D89" w:rsidP="00F577DC">
      <w:pPr>
        <w:spacing w:line="240" w:lineRule="auto"/>
        <w:rPr>
          <w:sz w:val="24"/>
          <w:szCs w:val="24"/>
        </w:rPr>
      </w:pPr>
      <w:r w:rsidRPr="0030389B">
        <w:rPr>
          <w:rFonts w:cstheme="minorHAnsi"/>
          <w:sz w:val="24"/>
          <w:szCs w:val="24"/>
        </w:rPr>
        <w:t>§</w:t>
      </w:r>
      <w:r w:rsidRPr="0030389B">
        <w:rPr>
          <w:sz w:val="24"/>
          <w:szCs w:val="24"/>
        </w:rPr>
        <w:t>205.601(j)(10) Squid byproducts – from food waste processing only. Can be pH adjusted with sulfuric, citric, or phosphoric acid. The amount of acid used shall not exceed the minimum needed to lower the pH to 3.5.</w:t>
      </w:r>
    </w:p>
    <w:p w14:paraId="022C5A77" w14:textId="53932CF6" w:rsidR="006A2D89" w:rsidRPr="0030389B" w:rsidRDefault="006A2D89" w:rsidP="00F577DC">
      <w:pPr>
        <w:spacing w:line="240" w:lineRule="auto"/>
        <w:rPr>
          <w:b/>
          <w:bCs/>
          <w:sz w:val="24"/>
          <w:szCs w:val="24"/>
        </w:rPr>
      </w:pPr>
      <w:r w:rsidRPr="0030389B">
        <w:rPr>
          <w:rFonts w:cstheme="minorHAnsi"/>
          <w:b/>
          <w:bCs/>
          <w:sz w:val="24"/>
          <w:szCs w:val="24"/>
        </w:rPr>
        <w:t>§</w:t>
      </w:r>
      <w:r w:rsidRPr="0030389B">
        <w:rPr>
          <w:b/>
          <w:bCs/>
          <w:sz w:val="24"/>
          <w:szCs w:val="24"/>
        </w:rPr>
        <w:t>205.602 Nonsynthetic substanc</w:t>
      </w:r>
      <w:r w:rsidR="007449B8" w:rsidRPr="0030389B">
        <w:rPr>
          <w:b/>
          <w:bCs/>
          <w:sz w:val="24"/>
          <w:szCs w:val="24"/>
        </w:rPr>
        <w:t>es prohibited for use in organic crop production.</w:t>
      </w:r>
    </w:p>
    <w:p w14:paraId="5030ADBC" w14:textId="689F09A7" w:rsidR="007449B8" w:rsidRPr="0030389B" w:rsidRDefault="007449B8" w:rsidP="00F577DC">
      <w:pPr>
        <w:spacing w:line="240" w:lineRule="auto"/>
        <w:rPr>
          <w:sz w:val="24"/>
          <w:szCs w:val="24"/>
        </w:rPr>
      </w:pPr>
      <w:r w:rsidRPr="0030389B">
        <w:rPr>
          <w:sz w:val="24"/>
          <w:szCs w:val="24"/>
        </w:rPr>
        <w:t>The following nonsynthetic substances may not be used in organic crop production.</w:t>
      </w:r>
    </w:p>
    <w:p w14:paraId="38422AD4" w14:textId="3A65C96B" w:rsidR="007449B8" w:rsidRPr="0030389B" w:rsidRDefault="007449B8" w:rsidP="00F577DC">
      <w:pPr>
        <w:spacing w:line="240" w:lineRule="auto"/>
        <w:rPr>
          <w:sz w:val="24"/>
          <w:szCs w:val="24"/>
        </w:rPr>
      </w:pPr>
      <w:r w:rsidRPr="0030389B">
        <w:rPr>
          <w:rFonts w:cstheme="minorHAnsi"/>
          <w:sz w:val="24"/>
          <w:szCs w:val="24"/>
        </w:rPr>
        <w:t>§</w:t>
      </w:r>
      <w:r w:rsidRPr="0030389B">
        <w:rPr>
          <w:sz w:val="24"/>
          <w:szCs w:val="24"/>
        </w:rPr>
        <w:t>205.602(d) Lead salts.</w:t>
      </w:r>
    </w:p>
    <w:p w14:paraId="6DECDC19" w14:textId="42E7772E" w:rsidR="007449B8" w:rsidRPr="0030389B" w:rsidRDefault="007449B8" w:rsidP="00F577DC">
      <w:pPr>
        <w:spacing w:line="240" w:lineRule="auto"/>
        <w:rPr>
          <w:sz w:val="24"/>
          <w:szCs w:val="24"/>
        </w:rPr>
      </w:pPr>
      <w:r w:rsidRPr="0030389B">
        <w:rPr>
          <w:rFonts w:cstheme="minorHAnsi"/>
          <w:sz w:val="24"/>
          <w:szCs w:val="24"/>
        </w:rPr>
        <w:t>§</w:t>
      </w:r>
      <w:r w:rsidRPr="0030389B">
        <w:rPr>
          <w:sz w:val="24"/>
          <w:szCs w:val="24"/>
        </w:rPr>
        <w:t>205.602(j) Tobacco dust (nicotine sulfate).</w:t>
      </w:r>
    </w:p>
    <w:p w14:paraId="44D3F415" w14:textId="12479157" w:rsidR="007449B8" w:rsidRPr="0030389B" w:rsidRDefault="007449B8" w:rsidP="00F577DC">
      <w:pPr>
        <w:spacing w:line="240" w:lineRule="auto"/>
        <w:rPr>
          <w:sz w:val="24"/>
          <w:szCs w:val="24"/>
        </w:rPr>
      </w:pPr>
    </w:p>
    <w:p w14:paraId="772DC38C" w14:textId="31B3BE5B" w:rsidR="000229ED" w:rsidRPr="0030389B" w:rsidRDefault="000229ED" w:rsidP="00F577DC">
      <w:pPr>
        <w:spacing w:line="240" w:lineRule="auto"/>
        <w:rPr>
          <w:sz w:val="24"/>
          <w:szCs w:val="24"/>
        </w:rPr>
      </w:pPr>
    </w:p>
    <w:p w14:paraId="579A837F" w14:textId="7B3565D7" w:rsidR="000229ED" w:rsidRPr="0030389B" w:rsidRDefault="000229ED" w:rsidP="00F577DC">
      <w:pPr>
        <w:spacing w:line="240" w:lineRule="auto"/>
        <w:rPr>
          <w:b/>
          <w:bCs/>
          <w:sz w:val="24"/>
          <w:szCs w:val="24"/>
        </w:rPr>
      </w:pPr>
      <w:r w:rsidRPr="0030389B">
        <w:rPr>
          <w:b/>
          <w:bCs/>
          <w:sz w:val="24"/>
          <w:szCs w:val="24"/>
        </w:rPr>
        <w:t xml:space="preserve">HANDLING Subcommittee Sunset Materials ~ </w:t>
      </w:r>
    </w:p>
    <w:p w14:paraId="4A90E02B" w14:textId="051C5B17" w:rsidR="00235F2E" w:rsidRPr="0030389B" w:rsidRDefault="00235F2E" w:rsidP="00F577DC">
      <w:pPr>
        <w:spacing w:line="240" w:lineRule="auto"/>
        <w:rPr>
          <w:b/>
          <w:bCs/>
          <w:sz w:val="24"/>
          <w:szCs w:val="24"/>
        </w:rPr>
      </w:pPr>
      <w:r w:rsidRPr="0030389B">
        <w:rPr>
          <w:rFonts w:cstheme="minorHAnsi"/>
          <w:b/>
          <w:bCs/>
          <w:sz w:val="24"/>
          <w:szCs w:val="24"/>
        </w:rPr>
        <w:t>§</w:t>
      </w:r>
      <w:r w:rsidRPr="0030389B">
        <w:rPr>
          <w:b/>
          <w:bCs/>
          <w:sz w:val="24"/>
          <w:szCs w:val="24"/>
        </w:rPr>
        <w:t xml:space="preserve">205.605 Nonagricultural (nonorganic) </w:t>
      </w:r>
      <w:r w:rsidR="00515726" w:rsidRPr="0030389B">
        <w:rPr>
          <w:b/>
          <w:bCs/>
          <w:sz w:val="24"/>
          <w:szCs w:val="24"/>
        </w:rPr>
        <w:t>substances allowed as ingredients in or on processed products labeled as “organic” or “made with organic (specified ingredients or food group(s))</w:t>
      </w:r>
      <w:r w:rsidR="00FC200C" w:rsidRPr="0030389B">
        <w:rPr>
          <w:b/>
          <w:bCs/>
          <w:sz w:val="24"/>
          <w:szCs w:val="24"/>
        </w:rPr>
        <w:t>.”</w:t>
      </w:r>
    </w:p>
    <w:p w14:paraId="2BDF3608" w14:textId="133FE246" w:rsidR="00FC200C" w:rsidRPr="0030389B" w:rsidRDefault="00FC200C" w:rsidP="00F577DC">
      <w:pPr>
        <w:spacing w:line="240" w:lineRule="auto"/>
        <w:rPr>
          <w:b/>
          <w:bCs/>
          <w:sz w:val="24"/>
          <w:szCs w:val="24"/>
        </w:rPr>
      </w:pPr>
      <w:r w:rsidRPr="0030389B">
        <w:rPr>
          <w:b/>
          <w:bCs/>
          <w:sz w:val="24"/>
          <w:szCs w:val="24"/>
        </w:rPr>
        <w:t xml:space="preserve">(a) Nonsynthetics allowed: </w:t>
      </w:r>
    </w:p>
    <w:p w14:paraId="14D854E0" w14:textId="28A52121" w:rsidR="00FC200C" w:rsidRPr="0030389B" w:rsidRDefault="00FC200C" w:rsidP="00F577DC">
      <w:pPr>
        <w:spacing w:line="240" w:lineRule="auto"/>
        <w:rPr>
          <w:rFonts w:cstheme="minorHAnsi"/>
          <w:sz w:val="24"/>
          <w:szCs w:val="24"/>
        </w:rPr>
      </w:pPr>
      <w:r w:rsidRPr="0030389B">
        <w:rPr>
          <w:rFonts w:cstheme="minorHAnsi"/>
          <w:sz w:val="24"/>
          <w:szCs w:val="24"/>
        </w:rPr>
        <w:t>§205.605(a)- Nitrogen</w:t>
      </w:r>
    </w:p>
    <w:p w14:paraId="61F4C47B" w14:textId="50DE80D5" w:rsidR="005B02BC" w:rsidRPr="0030389B" w:rsidRDefault="005B02BC" w:rsidP="00F577DC">
      <w:pPr>
        <w:spacing w:line="240" w:lineRule="auto"/>
        <w:rPr>
          <w:rFonts w:cstheme="minorHAnsi"/>
          <w:sz w:val="24"/>
          <w:szCs w:val="24"/>
        </w:rPr>
      </w:pPr>
      <w:r w:rsidRPr="0030389B">
        <w:rPr>
          <w:rFonts w:cstheme="minorHAnsi"/>
          <w:sz w:val="24"/>
          <w:szCs w:val="24"/>
        </w:rPr>
        <w:t>§205.605(a)- Bentonite</w:t>
      </w:r>
    </w:p>
    <w:p w14:paraId="2B8D9D0F" w14:textId="2C5874C2" w:rsidR="00FC200C" w:rsidRPr="0030389B" w:rsidRDefault="00FC200C" w:rsidP="00F577DC">
      <w:pPr>
        <w:spacing w:line="240" w:lineRule="auto"/>
        <w:rPr>
          <w:rFonts w:cstheme="minorHAnsi"/>
          <w:b/>
          <w:bCs/>
          <w:sz w:val="24"/>
          <w:szCs w:val="24"/>
        </w:rPr>
      </w:pPr>
      <w:r w:rsidRPr="0030389B">
        <w:rPr>
          <w:rFonts w:cstheme="minorHAnsi"/>
          <w:b/>
          <w:bCs/>
          <w:sz w:val="24"/>
          <w:szCs w:val="24"/>
        </w:rPr>
        <w:t>(b) Synthetics allowed:</w:t>
      </w:r>
    </w:p>
    <w:p w14:paraId="58840F57" w14:textId="78E82672" w:rsidR="00FC200C" w:rsidRPr="0030389B" w:rsidRDefault="00FC200C" w:rsidP="00F577DC">
      <w:pPr>
        <w:spacing w:line="240" w:lineRule="auto"/>
        <w:rPr>
          <w:rFonts w:cstheme="minorHAnsi"/>
          <w:sz w:val="24"/>
          <w:szCs w:val="24"/>
        </w:rPr>
      </w:pPr>
      <w:r w:rsidRPr="0030389B">
        <w:rPr>
          <w:rFonts w:cstheme="minorHAnsi"/>
          <w:sz w:val="24"/>
          <w:szCs w:val="24"/>
        </w:rPr>
        <w:t>§205.605(b) – Activated sodium chlorite – Secondary direct antimicrobial food treatment and indirect food contact surface sanitizing. Acidified with citric acid only.</w:t>
      </w:r>
    </w:p>
    <w:p w14:paraId="6B82D7E4" w14:textId="03014CF1" w:rsidR="005B02BC" w:rsidRPr="0030389B" w:rsidRDefault="005B02BC" w:rsidP="00F577DC">
      <w:pPr>
        <w:spacing w:line="240" w:lineRule="auto"/>
        <w:rPr>
          <w:rFonts w:cstheme="minorHAnsi"/>
          <w:sz w:val="24"/>
          <w:szCs w:val="24"/>
        </w:rPr>
      </w:pPr>
      <w:r w:rsidRPr="0030389B">
        <w:rPr>
          <w:rFonts w:cstheme="minorHAnsi"/>
          <w:sz w:val="24"/>
          <w:szCs w:val="24"/>
        </w:rPr>
        <w:t>§205.605(b) – Carbon dioxide</w:t>
      </w:r>
    </w:p>
    <w:p w14:paraId="2A29FCB8" w14:textId="77777777" w:rsidR="00FC200C" w:rsidRPr="0030389B" w:rsidRDefault="00FC200C" w:rsidP="00F577DC">
      <w:pPr>
        <w:spacing w:line="240" w:lineRule="auto"/>
        <w:rPr>
          <w:b/>
          <w:bCs/>
          <w:sz w:val="24"/>
          <w:szCs w:val="24"/>
        </w:rPr>
      </w:pPr>
    </w:p>
    <w:p w14:paraId="07585CFE" w14:textId="77777777" w:rsidR="000229ED" w:rsidRPr="0030389B" w:rsidRDefault="000229ED" w:rsidP="00F577DC">
      <w:pPr>
        <w:spacing w:line="240" w:lineRule="auto"/>
        <w:rPr>
          <w:b/>
          <w:bCs/>
          <w:sz w:val="24"/>
          <w:szCs w:val="24"/>
        </w:rPr>
      </w:pPr>
    </w:p>
    <w:p w14:paraId="66FC1689" w14:textId="77777777" w:rsidR="002C6BCE" w:rsidRPr="0030389B" w:rsidRDefault="002C6BCE" w:rsidP="00EA17E0">
      <w:pPr>
        <w:spacing w:line="240" w:lineRule="auto"/>
        <w:rPr>
          <w:sz w:val="24"/>
          <w:szCs w:val="24"/>
        </w:rPr>
      </w:pPr>
    </w:p>
    <w:p w14:paraId="2BDC9A21" w14:textId="77777777" w:rsidR="00544276" w:rsidRPr="0030389B" w:rsidRDefault="00544276" w:rsidP="00EA17E0">
      <w:pPr>
        <w:spacing w:line="240" w:lineRule="auto"/>
        <w:rPr>
          <w:sz w:val="24"/>
          <w:szCs w:val="24"/>
        </w:rPr>
      </w:pPr>
    </w:p>
    <w:sectPr w:rsidR="00544276" w:rsidRPr="003038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F72066"/>
    <w:multiLevelType w:val="hybridMultilevel"/>
    <w:tmpl w:val="C2A4A234"/>
    <w:lvl w:ilvl="0" w:tplc="C8D08D2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047BAB"/>
    <w:multiLevelType w:val="hybridMultilevel"/>
    <w:tmpl w:val="526696B6"/>
    <w:lvl w:ilvl="0" w:tplc="1E96CB1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BE5B2C"/>
    <w:multiLevelType w:val="hybridMultilevel"/>
    <w:tmpl w:val="BBCE4CCE"/>
    <w:lvl w:ilvl="0" w:tplc="C3D2C5B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F1549AA"/>
    <w:multiLevelType w:val="hybridMultilevel"/>
    <w:tmpl w:val="980EBDA8"/>
    <w:lvl w:ilvl="0" w:tplc="855A3D0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7E0"/>
    <w:rsid w:val="000229ED"/>
    <w:rsid w:val="000D37B4"/>
    <w:rsid w:val="00235F2E"/>
    <w:rsid w:val="002C6BCE"/>
    <w:rsid w:val="0030389B"/>
    <w:rsid w:val="00407142"/>
    <w:rsid w:val="00416918"/>
    <w:rsid w:val="00515726"/>
    <w:rsid w:val="00544276"/>
    <w:rsid w:val="005A524E"/>
    <w:rsid w:val="005B02BC"/>
    <w:rsid w:val="006A2D89"/>
    <w:rsid w:val="007449B8"/>
    <w:rsid w:val="00BF6E4B"/>
    <w:rsid w:val="00EA17E0"/>
    <w:rsid w:val="00F11B2D"/>
    <w:rsid w:val="00F47282"/>
    <w:rsid w:val="00F577DC"/>
    <w:rsid w:val="00FC20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3E48F"/>
  <w15:chartTrackingRefBased/>
  <w15:docId w15:val="{09477988-C855-4BA2-BB08-053CC8EFB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77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428</Words>
  <Characters>2440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Harold Austin</dc:creator>
  <cp:keywords/>
  <dc:description/>
  <cp:lastModifiedBy>Dan Langager</cp:lastModifiedBy>
  <cp:revision>3</cp:revision>
  <cp:lastPrinted>2021-11-22T19:13:00Z</cp:lastPrinted>
  <dcterms:created xsi:type="dcterms:W3CDTF">2022-03-08T17:22:00Z</dcterms:created>
  <dcterms:modified xsi:type="dcterms:W3CDTF">2022-03-08T17:23:00Z</dcterms:modified>
</cp:coreProperties>
</file>